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922"/>
      </w:tblGrid>
      <w:tr>
        <w:tc>
          <w:tcPr>
            <w:tcW w:type="dxa" w:w="9921"/>
            <w:vAlign w:val="center"/>
            <w:shd w:fill="1B7F7A"/>
            <w:tcMar>
              <w:top w:w="240" w:type="dxa"/>
              <w:start w:w="300" w:type="dxa"/>
              <w:bottom w:w="230" w:type="dxa"/>
              <w:end w:w="300" w:type="dxa"/>
            </w:tcMar>
          </w:tcPr>
          <w:p>
            <w:pPr>
              <w:spacing w:after="80"/>
            </w:pPr>
            <w:r>
              <w:rPr>
                <w:rFonts w:ascii="Arial" w:hAnsi="Arial"/>
                <w:b/>
                <w:i w:val="0"/>
                <w:color w:val="FFFFFF"/>
                <w:sz w:val="44"/>
              </w:rPr>
              <w:t>Bilan de compétences Pro</w:t>
            </w:r>
          </w:p>
          <w:p>
            <w:pPr>
              <w:spacing w:after="0"/>
            </w:pPr>
            <w:r>
              <w:rPr>
                <w:rFonts w:ascii="Arial" w:hAnsi="Arial"/>
                <w:b/>
                <w:i w:val="0"/>
                <w:color w:val="FFFFFF"/>
                <w:sz w:val="21"/>
              </w:rPr>
              <w:t>Accompagnement personnalisé - 10 à 16 heures</w:t>
            </w:r>
            <w:r>
              <w:rPr>
                <w:rFonts w:ascii="Arial" w:hAnsi="Arial"/>
                <w:b/>
                <w:i w:val="0"/>
                <w:color w:val="FFFFFF"/>
                <w:sz w:val="17"/>
              </w:rPr>
              <w:t xml:space="preserve">    PROGRAMME DE FORMATION</w:t>
            </w:r>
          </w:p>
        </w:tc>
      </w:tr>
    </w:tbl>
    <w:p>
      <w:pPr>
        <w:spacing w:before="160" w:after="80"/>
      </w:pPr>
      <w:r>
        <w:rPr>
          <w:rFonts w:ascii="Arial" w:hAnsi="Arial"/>
          <w:b/>
          <w:i w:val="0"/>
          <w:color w:val="1B7F7A"/>
          <w:sz w:val="16"/>
        </w:rPr>
        <w:t>INFORMATIONS CLÉS</w:t>
      </w:r>
    </w:p>
    <w:tbl>
      <w:tblPr>
        <w:tblW w:type="auto" w:w="0"/>
        <w:jc w:val="center"/>
        <w:tblLayout w:type="fixed"/>
        <w:tblLook w:firstColumn="1" w:firstRow="1" w:lastColumn="0" w:lastRow="0" w:noHBand="0" w:noVBand="1" w:val="04A0"/>
      </w:tblPr>
      <w:tblGrid>
        <w:gridCol w:w="3307"/>
        <w:gridCol w:w="3307"/>
        <w:gridCol w:w="3307"/>
      </w:tblGrid>
      <w:tr>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10 à 16 heures</w:t>
            </w:r>
          </w:p>
        </w:tc>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À distance ou en présentiel</w:t>
            </w:r>
          </w:p>
        </w:tc>
        <w:tc>
          <w:tcPr>
            <w:tcW w:type="dxa" w:w="3307"/>
            <w:vAlign w:val="center"/>
            <w:shd w:fill="F4F6F7"/>
            <w:tcMar>
              <w:top w:w="135" w:type="dxa"/>
              <w:start w:w="150" w:type="dxa"/>
              <w:bottom w:w="135" w:type="dxa"/>
              <w:end w:w="150" w:type="dxa"/>
            </w:tcMar>
          </w:tcPr>
          <w:p>
            <w:pPr>
              <w:spacing w:after="0"/>
              <w:jc w:val="center"/>
            </w:pPr>
            <w:r>
              <w:rPr>
                <w:rFonts w:ascii="Arial" w:hAnsi="Arial"/>
                <w:b/>
                <w:i w:val="0"/>
                <w:color w:val="000000"/>
                <w:sz w:val="17"/>
              </w:rPr>
              <w:t>Accompagnement personnalisé</w:t>
            </w:r>
          </w:p>
        </w:tc>
      </w:tr>
    </w:tbl>
    <w:p>
      <w:pPr>
        <w:spacing w:before="160" w:after="120"/>
      </w:pPr>
      <w:r>
        <w:rPr>
          <w:rFonts w:ascii="Arial" w:hAnsi="Arial"/>
          <w:b/>
          <w:i w:val="0"/>
          <w:color w:val="1B7F7A"/>
          <w:sz w:val="28"/>
        </w:rPr>
        <w:t>Programme détaillé</w:t>
      </w: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01  Description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Le bilan de compétences est une démarche personnalisée qui permet d’analyser son parcours professionnel et personnel afin d’identifier ses compétences, motivations et valeurs. Il aide à définir un projet professionnel en adéquation avec ses aspirations et les opportunités du marché du travail, tout en élaborant un plan d’action concret pour le réaliser.</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02  Mode d’organisation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Bilan de compétences à distance ou en présentiel. Accompagnement personnalisé par des consultants expérimentés. La durée de l’accompagnement s’adapte aux besoins, de 10 à 16 heures, et aux objectifs attendus du bilan.</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03  Pré-requis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Aucun prérequis spécifique, uniquement un engagement dans la démarche.</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04  Déroulement de l’accompagnement</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Bilan de compétences Pro : phase 1, préliminaire ; phase 2, investigation ; phase 3, conclusion et plan d’action. La formule standard peut être aménagée si besoin.</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05  Profil des consultants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Diplômés en psychologie de l’orientation, expérimentés en accompagnement et formation, et spécialisés en développement des compétences.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06  Moyens et supports pédagogiques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Entretiens individuels avec un consultant en bilan de compétences, tests psychométriques et auto-évaluations, ressources documentaires et bases de données métiers, puis élaboration d’un dossier de synthèse personnalisé.</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07  Modalités d’évaluation et de certification</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Évaluation continue des progrès par les échanges avec le consultant, auto-évaluation du bénéficiaire sur son évolution tout au long du bilan et validation du plan d’action.</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08  Modalités d’accès</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Financement possible via le Compte personnel de formation (CPF), France Travail ou l’employeur. Accès après un entretien préalable avec le consultant.</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09  Reconversion professionnelle</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Les débouchés dépendent du projet professionnel validé, des compétences transférables, des motivations et du marché de l’emploi local ou sectoriel. Si un besoin de formation est identifié, des parcours de montée en compétences peuvent être proposés vers des métiers en tension ou porteurs.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10  Évolution interne</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Le bilan peut déboucher sur une évolution interne : poste à responsabilités, mobilité horizontale ou changement de service. Des passerelles peuvent être envisagées, avec un accompagnement RH pour activer les opportunités.</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11  Questionnement ou épuisement professionnel</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Le bilan ne vise pas toujours un débouché immédiat : il peut constituer une étape de clarification, de redynamisation ou de repositionnement, avec un plan d’action progressif à moyen terme.</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12  En synthèse</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Un bilan de compétences ne promet pas un emploi immédiat. Il ouvre sur une orientation claire, un plan d’action personnalisé et des possibilités concrètes de formation ou d’évolution. Il sert de socle décisionnel pour une mise en mouvement réaliste et durable.</w:t>
            </w:r>
          </w:p>
        </w:tc>
      </w:tr>
    </w:tbl>
    <w:p>
      <w:pPr>
        <w:spacing w:after="40" w:line="48" w:lineRule="auto"/>
      </w:pPr>
    </w:p>
    <w:tbl>
      <w:tblPr>
        <w:tblW w:type="auto" w:w="0"/>
        <w:jc w:val="center"/>
        <w:tblLayout w:type="fixed"/>
        <w:tblLook w:firstColumn="1" w:firstRow="1" w:lastColumn="0" w:lastRow="0" w:noHBand="0" w:noVBand="1" w:val="04A0"/>
      </w:tblPr>
      <w:tblGrid>
        <w:gridCol w:w="9922"/>
      </w:tblGrid>
      <w:tr>
        <w:trPr>
          <w:cantSplit/>
        </w:trPr>
        <w:tc>
          <w:tcPr>
            <w:tcW w:type="dxa" w:w="9921"/>
            <w:vAlign w:val="center"/>
            <w:shd w:fill="1B7F7A"/>
            <w:tcMar>
              <w:top w:w="92" w:type="dxa"/>
              <w:start w:w="180" w:type="dxa"/>
              <w:bottom w:w="92" w:type="dxa"/>
              <w:end w:w="180" w:type="dxa"/>
            </w:tcMar>
          </w:tcPr>
          <w:p>
            <w:pPr>
              <w:keepNext/>
              <w:keepLines/>
              <w:spacing w:after="0"/>
            </w:pPr>
            <w:r>
              <w:rPr>
                <w:rFonts w:ascii="Arial" w:hAnsi="Arial"/>
                <w:b/>
                <w:i w:val="0"/>
                <w:color w:val="FFFFFF"/>
                <w:sz w:val="20"/>
              </w:rPr>
              <w:t>13  Une approche complète et structurée</w:t>
            </w:r>
          </w:p>
        </w:tc>
      </w:tr>
      <w:tr>
        <w:trPr>
          <w:cantSplit/>
        </w:trPr>
        <w:tc>
          <w:tcPr>
            <w:tcW w:type="dxa" w:w="9921"/>
            <w:vAlign w:val="top"/>
            <w:shd w:fill="FFFFFF"/>
            <w:tcMar>
              <w:top w:w="145" w:type="dxa"/>
              <w:start w:w="180" w:type="dxa"/>
              <w:bottom w:w="165" w:type="dxa"/>
              <w:end w:w="180" w:type="dxa"/>
            </w:tcMar>
          </w:tcPr>
          <w:p>
            <w:pPr>
              <w:keepLines/>
              <w:spacing w:after="0" w:line="283" w:lineRule="auto"/>
            </w:pPr>
            <w:r>
              <w:rPr>
                <w:rFonts w:ascii="Arial" w:hAnsi="Arial"/>
                <w:b w:val="0"/>
                <w:i w:val="0"/>
                <w:color w:val="000000"/>
                <w:sz w:val="19"/>
              </w:rPr>
              <w:t>Nos différentes prestations en bilan de compétences offrent une approche complète et structurée. Elles intègrent une analyse approfondie du parcours et des compétences du bénéficiaire et l’accompagnent vers un projet réaliste et réalisable, dans le respect des exigences légales et méthodologiques.</w:t>
            </w:r>
          </w:p>
        </w:tc>
      </w:tr>
    </w:tbl>
    <w:p>
      <w:pPr>
        <w:spacing w:after="40" w:line="48" w:lineRule="auto"/>
      </w:pPr>
    </w:p>
    <w:sectPr w:rsidR="00FC693F" w:rsidRPr="0006063C" w:rsidSect="00034616">
      <w:headerReference w:type="default" r:id="rId9"/>
      <w:footerReference w:type="default" r:id="rId10"/>
      <w:pgSz w:w="11906" w:h="16838"/>
      <w:pgMar w:top="1389" w:right="992" w:bottom="1219" w:left="992" w:header="255"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8050"/>
      <w:gridCol w:w="1871"/>
    </w:tblGrid>
    <w:tr>
      <w:tc>
        <w:tcPr>
          <w:tcW w:type="dxa" w:w="4961"/>
          <w:tcMar>
            <w:top w:w="45" w:type="dxa"/>
            <w:start w:w="0" w:type="dxa"/>
            <w:bottom w:w="0" w:type="dxa"/>
            <w:end w:w="0" w:type="dxa"/>
          </w:tcMar>
        </w:tcPr>
        <w:p>
          <w:pPr>
            <w:spacing w:after="0"/>
          </w:pPr>
          <w:r>
            <w:rPr>
              <w:rFonts w:ascii="Arial" w:hAnsi="Arial"/>
              <w:b w:val="0"/>
              <w:i w:val="0"/>
              <w:color w:val="4C5963"/>
              <w:sz w:val="14"/>
            </w:rPr>
            <w:t>ISTAS - GROUPE TEMPUS-FORMATIONS | 30 rue de Lattre de Tassigny, 67300 Schiltigheim - France | tempus-formations.fr</w:t>
          </w:r>
        </w:p>
      </w:tc>
      <w:tc>
        <w:tcPr>
          <w:tcW w:type="dxa" w:w="4961"/>
          <w:tcMar>
            <w:top w:w="45" w:type="dxa"/>
            <w:start w:w="0" w:type="dxa"/>
            <w:bottom w:w="0" w:type="dxa"/>
            <w:end w:w="0" w:type="dxa"/>
          </w:tcMar>
        </w:tcPr>
        <w:p>
          <w:pPr>
            <w:jc w:val="right"/>
          </w:pPr>
          <w:r>
            <w:rPr>
              <w:rFonts w:ascii="Arial" w:hAnsi="Arial"/>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drawing>
        <wp:inline xmlns:a="http://schemas.openxmlformats.org/drawingml/2006/main" xmlns:pic="http://schemas.openxmlformats.org/drawingml/2006/picture">
          <wp:extent cx="1800000" cy="709364"/>
          <wp:docPr id="1" name="Picture 1"/>
          <wp:cNvGraphicFramePr>
            <a:graphicFrameLocks noChangeAspect="1"/>
          </wp:cNvGraphicFramePr>
          <a:graphic>
            <a:graphicData uri="http://schemas.openxmlformats.org/drawingml/2006/picture">
              <pic:pic>
                <pic:nvPicPr>
                  <pic:cNvPr id="0" name="logo-tempus-transparent.png"/>
                  <pic:cNvPicPr/>
                </pic:nvPicPr>
                <pic:blipFill>
                  <a:blip r:embed="rId1"/>
                  <a:stretch>
                    <a:fillRect/>
                  </a:stretch>
                </pic:blipFill>
                <pic:spPr>
                  <a:xfrm>
                    <a:off x="0" y="0"/>
                    <a:ext cx="1800000" cy="7093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1B7F7A"/>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B7F7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