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1"/>
            <w:vAlign w:val="center"/>
            <w:shd w:fill="2E75B6"/>
            <w:tcMar>
              <w:top w:w="240" w:type="dxa"/>
              <w:start w:w="300" w:type="dxa"/>
              <w:bottom w:w="230" w:type="dxa"/>
              <w:end w:w="30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FFFFFF"/>
                <w:sz w:val="44"/>
              </w:rPr>
              <w:t>Bilan d’orientation - Premier emploi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1"/>
              </w:rPr>
              <w:t>Pour les 16-26 ans</w:t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 xml:space="preserve">    PROGRAMME DE FORMATION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i w:val="0"/>
          <w:color w:val="2E75B6"/>
          <w:sz w:val="16"/>
        </w:rPr>
        <w:t>INFORMATIONS CLÉS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  <w:shd w:fill="F4F6F7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000000"/>
                <w:sz w:val="17"/>
              </w:rPr>
              <w:t>Accompagnement individuel</w:t>
            </w:r>
          </w:p>
        </w:tc>
        <w:tc>
          <w:tcPr>
            <w:tcW w:type="dxa" w:w="3307"/>
            <w:vAlign w:val="center"/>
            <w:shd w:fill="F4F6F7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000000"/>
                <w:sz w:val="17"/>
              </w:rPr>
              <w:t>Orientation et premier emploi</w:t>
            </w:r>
          </w:p>
        </w:tc>
        <w:tc>
          <w:tcPr>
            <w:tcW w:type="dxa" w:w="3307"/>
            <w:vAlign w:val="center"/>
            <w:shd w:fill="F4F6F7"/>
            <w:tcMar>
              <w:top w:w="135" w:type="dxa"/>
              <w:start w:w="150" w:type="dxa"/>
              <w:bottom w:w="135" w:type="dxa"/>
              <w:end w:w="15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000000"/>
                <w:sz w:val="17"/>
              </w:rPr>
              <w:t>Sans prérequis spécifique</w:t>
            </w:r>
          </w:p>
        </w:tc>
      </w:tr>
    </w:tbl>
    <w:p>
      <w:pPr>
        <w:spacing w:before="160" w:after="120"/>
      </w:pPr>
      <w:r>
        <w:rPr>
          <w:rFonts w:ascii="Arial" w:hAnsi="Arial"/>
          <w:b/>
          <w:i w:val="0"/>
          <w:color w:val="2E75B6"/>
          <w:sz w:val="28"/>
        </w:rPr>
        <w:t>Programme détaillé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01  Description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Avant d’entrer dans le monde du travail, il est essentiel d’identifier ses forces, ses aspirations et les formations adaptées à son profil. Le bilan d’orientation aide à mieux définir les objectifs professionnels et à construire un parcours épanouissant.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02  Mode d’organisation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Bilan d’orientation Premier emploi, avec un accompagnement personnalisé par des consultants expérimentés et un lien vers le compte CPF pour l’inscription, sous réserve de l’éligibilité de l’offre.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03  Pré-requis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Aucun prérequis spécifique, uniquement un engagement dans la démarche.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04  Déroulement de l’accompagnement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Au travers d’outils d’aide à l’orientation et d’un échange constructif, le projet professionnel est défini avec le bénéficiaire.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05  Phase 1 — Préliminaire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Analyse de la demande, clarification des attentes, présentation du déroulement et définition des objectifs du bilan d’orientation.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06  Phase 2 — Investigation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Exploration du parcours, des forces, des intérêts professionnels, des motivations et des valeurs. Les tests RIASEC, questionnaires typologiques, auto-évaluations et enquêtes métiers contribuent à éclairer les pistes.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07  Phase 3 — Conclusion et plan d’action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Comparaison des pistes, vérification de leur faisabilité et formalisation du projet, de la synthèse et du plan d’action.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08  Profil des consultants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Consultants diplômés en sciences de l’éducation, expérimentés en accompagnement et formation, et spécialisés en développement des compétences.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09  Moyens et supports pédagogiques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Entretiens individuels, tests psychométriques et auto-évaluations, ressources documentaires, bases de données métiers et dossier de synthèse personnalisé.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10  Modalités d’évaluation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Évaluation continue des progrès par les échanges, auto-évaluation du bénéficiaire sur son évolution et établissement d’une synthèse en fin de bilan.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11  Modalités d’accès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Financement possible via le Compte personnel de formation (CPF), France Travail ou l’employeur. Accès après un entretien préalable avec le consultant.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12  1. Réorientation professionnelle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Entrée en formation qualifiante ou diplômante, reprise d’études souvent en alternance, préparation d’un concours ou parcours court vers un métier en tension, par exemple aide-soignant, développeur web ou technicien logistique.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13  2. Première orientation réellement choisie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Identification de métiers adaptés au profil à l’aide notamment du RIASEC, du MBTI et des intérêts professionnels, de secteurs porteurs et de formations accessibles avec ou sans prérequis.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14  3. Entrée plus ciblée sur le marché du travail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Accompagnement vers l’emploi avec CV, réseau et ciblage ; certification courte, titre professionnel ou CQP ; service civique, volontariat, emploi aidé ou contrat d’insertion.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15  4. Projet d’entrepreneuriat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Test d’un projet, notamment en auto-entreprise ou coopérative, recherche d’un accompagnement à la création d’entreprise et orientation vers des dispositifs pour jeunes entrepreneurs comme BGE ou Pépite.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16  Compte personnel de formation — CPF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Le CPF et les droits acquis au fil de la carrière peuvent financer une formation professionnelle éligible, certifiante ou qualifiante depuis le service officiel Mon Compte Formation.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17  Demandeurs d’emploi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France Travail peut mobiliser l’Aide individuelle à la formation pour une formation de demandeur d’emploi. Des financements de la Région et des aides de l’Agefiph existent également selon la situation, notamment pour les personnes en situation de handicap.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18  Reconversion ou promotion par alternance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La Pro-A permet à certains salariés de se former en alternance tout en conservant leur contrat. La prise en charge relève généralement de l’OPCO de l’entreprise.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19  Projet de transition professionnelle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Le PTP peut financer une formation de reconversion, parfois longue, avec maintien de la rémunération sous conditions et après examen du dossier par Transitions Pro.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20  Travailleurs indépendants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Les fonds d’assurance formation, notamment AGEFICE, FIF PL ou FAFCEA selon l’activité, peuvent assurer une prise en charge totale ou partielle.</w:t>
            </w:r>
          </w:p>
        </w:tc>
      </w:tr>
    </w:tbl>
    <w:p>
      <w:pPr>
        <w:spacing w:after="40" w:line="48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22"/>
      </w:tblGrid>
      <w:tr>
        <w:trPr>
          <w:cantSplit/>
        </w:trPr>
        <w:tc>
          <w:tcPr>
            <w:tcW w:type="dxa" w:w="9921"/>
            <w:vAlign w:val="center"/>
            <w:shd w:fill="2E75B6"/>
            <w:tcMar>
              <w:top w:w="92" w:type="dxa"/>
              <w:start w:w="180" w:type="dxa"/>
              <w:bottom w:w="92" w:type="dxa"/>
              <w:end w:w="180" w:type="dxa"/>
            </w:tcMar>
          </w:tcPr>
          <w:p>
            <w:pPr>
              <w:keepNext/>
              <w:keepLines/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21  Entreprises et employeurs</w:t>
            </w:r>
          </w:p>
        </w:tc>
      </w:tr>
      <w:tr>
        <w:trPr>
          <w:cantSplit/>
        </w:trPr>
        <w:tc>
          <w:tcPr>
            <w:tcW w:type="dxa" w:w="9921"/>
            <w:vAlign w:val="top"/>
            <w:shd w:fill="FFFFFF"/>
            <w:tcMar>
              <w:top w:w="145" w:type="dxa"/>
              <w:start w:w="180" w:type="dxa"/>
              <w:bottom w:w="165" w:type="dxa"/>
              <w:end w:w="180" w:type="dxa"/>
            </w:tcMar>
          </w:tcPr>
          <w:p>
            <w:pPr>
              <w:keepLines/>
              <w:spacing w:after="0" w:line="283" w:lineRule="auto"/>
            </w:pPr>
            <w:r>
              <w:rPr>
                <w:rFonts w:ascii="Arial" w:hAnsi="Arial"/>
                <w:b w:val="0"/>
                <w:i w:val="0"/>
                <w:color w:val="000000"/>
                <w:sz w:val="19"/>
              </w:rPr>
              <w:t>L’OPCO de branche et certaines aides destinées aux petites entreprises peuvent contribuer au financement du développement des compétences.</w:t>
            </w:r>
          </w:p>
        </w:tc>
      </w:tr>
    </w:tbl>
    <w:p>
      <w:pPr>
        <w:spacing w:after="40" w:line="48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89" w:right="992" w:bottom="1219" w:left="992" w:header="255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8050"/>
      <w:gridCol w:w="1871"/>
    </w:tblGrid>
    <w:tr>
      <w:tc>
        <w:tcPr>
          <w:tcW w:type="dxa" w:w="4961"/>
          <w:tcMar>
            <w:top w:w="45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b w:val="0"/>
              <w:i w:val="0"/>
              <w:color w:val="4C5963"/>
              <w:sz w:val="14"/>
            </w:rPr>
            <w:t>ISTAS - GROUPE TEMPUS-FORMATIONS | 30 rue de Lattre de Tassigny, 67300 Schiltigheim - France | tempus-formations.fr</w:t>
          </w:r>
        </w:p>
      </w:tc>
      <w:tc>
        <w:tcPr>
          <w:tcW w:type="dxa" w:w="4961"/>
          <w:tcMar>
            <w:top w:w="45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Arial" w:hAnsi="Arial"/>
              <w:sz w:val="16"/>
            </w:rPr>
            <w:t xml:space="preserve">Page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drawing>
        <wp:inline xmlns:a="http://schemas.openxmlformats.org/drawingml/2006/main" xmlns:pic="http://schemas.openxmlformats.org/drawingml/2006/picture">
          <wp:extent cx="1800000" cy="70936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tempus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70936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E75B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2E75B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