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922"/>
      </w:tblGrid>
      <w:tr>
        <w:tc>
          <w:tcPr>
            <w:tcW w:type="dxa" w:w="9921"/>
            <w:vAlign w:val="center"/>
            <w:shd w:fill="8A6500"/>
            <w:tcMar>
              <w:top w:w="240" w:type="dxa"/>
              <w:start w:w="300" w:type="dxa"/>
              <w:bottom w:w="230" w:type="dxa"/>
              <w:end w:w="300" w:type="dxa"/>
            </w:tcMar>
          </w:tcPr>
          <w:p>
            <w:pPr>
              <w:spacing w:after="80"/>
            </w:pPr>
            <w:r>
              <w:rPr>
                <w:rFonts w:ascii="Arial" w:hAnsi="Arial"/>
                <w:b/>
                <w:i w:val="0"/>
                <w:color w:val="FFFFFF"/>
                <w:sz w:val="44"/>
              </w:rPr>
              <w:t>Pratique du bilan de compétences</w:t>
            </w:r>
          </w:p>
          <w:p>
            <w:pPr>
              <w:spacing w:after="0"/>
            </w:pPr>
            <w:r>
              <w:rPr>
                <w:rFonts w:ascii="Arial" w:hAnsi="Arial"/>
                <w:b/>
                <w:i w:val="0"/>
                <w:color w:val="FFFFFF"/>
                <w:sz w:val="21"/>
              </w:rPr>
              <w:t>Parcours professionnalisant - 132 ou 152 heures</w:t>
            </w:r>
            <w:r>
              <w:rPr>
                <w:rFonts w:ascii="Arial" w:hAnsi="Arial"/>
                <w:b/>
                <w:i w:val="0"/>
                <w:color w:val="FFFFFF"/>
                <w:sz w:val="17"/>
              </w:rPr>
              <w:t xml:space="preserve">    PROGRAMME DE FORMATION</w:t>
            </w:r>
          </w:p>
        </w:tc>
      </w:tr>
    </w:tbl>
    <w:p>
      <w:pPr>
        <w:spacing w:before="160" w:after="80"/>
      </w:pPr>
      <w:r>
        <w:rPr>
          <w:rFonts w:ascii="Arial" w:hAnsi="Arial"/>
          <w:b/>
          <w:i w:val="0"/>
          <w:color w:val="8A6500"/>
          <w:sz w:val="16"/>
        </w:rPr>
        <w:t>INFORMATIONS CLÉS</w:t>
      </w:r>
    </w:p>
    <w:tbl>
      <w:tblPr>
        <w:tblW w:type="auto" w:w="0"/>
        <w:jc w:val="center"/>
        <w:tblLayout w:type="fixed"/>
        <w:tblLook w:firstColumn="1" w:firstRow="1" w:lastColumn="0" w:lastRow="0" w:noHBand="0" w:noVBand="1" w:val="04A0"/>
      </w:tblPr>
      <w:tblGrid>
        <w:gridCol w:w="3307"/>
        <w:gridCol w:w="3307"/>
        <w:gridCol w:w="3307"/>
      </w:tblGrid>
      <w:tr>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4 mois</w:t>
            </w:r>
          </w:p>
        </w:tc>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Formation à distance</w:t>
            </w:r>
          </w:p>
        </w:tc>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Aucun prérequis spécifique</w:t>
            </w:r>
          </w:p>
        </w:tc>
      </w:tr>
    </w:tbl>
    <w:p>
      <w:pPr>
        <w:spacing w:before="160" w:after="120"/>
      </w:pPr>
      <w:r>
        <w:rPr>
          <w:rFonts w:ascii="Arial" w:hAnsi="Arial"/>
          <w:b/>
          <w:i w:val="0"/>
          <w:color w:val="8A6500"/>
          <w:sz w:val="28"/>
        </w:rPr>
        <w:t>Programme détaillé</w:t>
      </w: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01  Objectif de la certification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Apprendre à conduire concrètement un bilan de compétences, de l’analyse de la demande à la formalisation du projet professionnel, avec une méthode claire, des outils mobilisables et une posture adaptée.</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02  Organisation et prérequis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Parcours à distance alternant théorie et pratique, sur 4 mois, pour 132 ou 152 heures selon les options. Aucun prérequis spécifique ; une expérience de l’accompagnement constitue un atout.</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03  Modules 1 et 2</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Introduction au bilan de compétences ; cadre, objectifs et étapes ; conduite d’un bilan selon une approche méthodologique structurée, de l’analyse de la demande au plan d’action.</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04  Modules 3 et 4</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Outils et techniques d’évaluation ; exploration des compétences, motivations et valeurs ; techniques d’accompagnement, conduite d’entretien, communication et posture du consultant.</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05  Modules 5 et 6</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Formalisation et rédaction du bilan ; synthèse et restitution ; mise en pratique, études de cas, simulations d’entretien et préparation à la certification.</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06  Pédagogie et moyens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Interventions hebdomadaires à distance, replays, plateforme e-learning, ressources accessibles en ligne, études de cas, mises en situation, coaching individualisé et échanges de pratiques.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07  Évaluation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Participation active, travaux d’application, mises en situation professionnelles, réalisation et restitution de trois bilans de compétences et évaluation des acquis méthodologiques et théoriques.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08  Articulation avec le CCP2 CIP</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Le parcours est adossé aux compétences du bloc RNCP37274BC02 du titre CIP. La présentation à la certification dépend de l’habilitation du centre, de la couverture intégrale du référentiel et de la réussite aux épreuves devant un jury externe ; la formation ne doit pas être présentée comme enregistrée elle-même au RNCP.</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09  Cadre qualité Qualiopi</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Tempus-Formations est certifié Qualiopi pour les bilans de compétences, les actions de formation et les actions de formation par apprentissage. Une collaboration sur de premiers bilans peut être étudiée après la certification, dans le cadre d’un accord contractuel, des procédures qualité de l’organisme et du périmètre des activités certifiées.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10  Accès et financement</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Entrées permanentes et sélection sur dossier. Toute mention CPF ou tout lien d’inscription doit correspondre à une offre réellement éligible et vérifiée ; d’autres financements peuvent être étudiés avec France Travail, un employeur ou les dispositifs pour indépendants.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8A6500"/>
            <w:tcMar>
              <w:top w:w="92" w:type="dxa"/>
              <w:start w:w="180" w:type="dxa"/>
              <w:bottom w:w="92" w:type="dxa"/>
              <w:end w:w="180" w:type="dxa"/>
            </w:tcMar>
          </w:tcPr>
          <w:p>
            <w:pPr>
              <w:keepNext/>
              <w:keepLines/>
              <w:spacing w:after="0"/>
            </w:pPr>
            <w:r>
              <w:rPr>
                <w:rFonts w:ascii="Arial" w:hAnsi="Arial"/>
                <w:b/>
                <w:i w:val="0"/>
                <w:color w:val="FFFFFF"/>
                <w:sz w:val="20"/>
              </w:rPr>
              <w:t>11  Débouchés et perspectives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Consultant en bilan de compétences, conseiller en évolution professionnelle, accompagnateur à la reconversion ou intervenant en orientation. Évolutions vers la coordination de dispositifs et poursuites possibles en coaching, psychologie du travail, ingénierie de formation, RH ou management des carrières.</w:t>
            </w:r>
          </w:p>
        </w:tc>
      </w:tr>
    </w:tbl>
    <w:p>
      <w:pPr>
        <w:spacing w:after="40" w:line="48" w:lineRule="auto"/>
      </w:pPr>
    </w:p>
    <w:sectPr w:rsidR="00FC693F" w:rsidRPr="0006063C" w:rsidSect="00034616">
      <w:headerReference w:type="default" r:id="rId9"/>
      <w:footerReference w:type="default" r:id="rId10"/>
      <w:pgSz w:w="11906" w:h="16838"/>
      <w:pgMar w:top="1389" w:right="992" w:bottom="1219" w:left="992"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8050"/>
      <w:gridCol w:w="1871"/>
    </w:tblGrid>
    <w:tr>
      <w:tc>
        <w:tcPr>
          <w:tcW w:type="dxa" w:w="4961"/>
          <w:tcMar>
            <w:top w:w="45" w:type="dxa"/>
            <w:start w:w="0" w:type="dxa"/>
            <w:bottom w:w="0" w:type="dxa"/>
            <w:end w:w="0" w:type="dxa"/>
          </w:tcMar>
        </w:tcPr>
        <w:p>
          <w:pPr>
            <w:spacing w:after="0"/>
          </w:pPr>
          <w:r>
            <w:rPr>
              <w:rFonts w:ascii="Arial" w:hAnsi="Arial"/>
              <w:b w:val="0"/>
              <w:i w:val="0"/>
              <w:color w:val="4C5963"/>
              <w:sz w:val="14"/>
            </w:rPr>
            <w:t>ISTAS - GROUPE TEMPUS-FORMATIONS | 30 rue de Lattre de Tassigny, 67300 Schiltigheim - France | tempus-formations.fr</w:t>
          </w:r>
        </w:p>
      </w:tc>
      <w:tc>
        <w:tcPr>
          <w:tcW w:type="dxa" w:w="4961"/>
          <w:tcMar>
            <w:top w:w="45" w:type="dxa"/>
            <w:start w:w="0" w:type="dxa"/>
            <w:bottom w:w="0" w:type="dxa"/>
            <w:end w:w="0" w:type="dxa"/>
          </w:tcMar>
        </w:tcPr>
        <w:p>
          <w:pPr>
            <w:jc w:val="right"/>
          </w:pPr>
          <w:r>
            <w:rPr>
              <w:rFonts w:ascii="Arial" w:hAnsi="Arial"/>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drawing>
        <wp:inline xmlns:a="http://schemas.openxmlformats.org/drawingml/2006/main" xmlns:pic="http://schemas.openxmlformats.org/drawingml/2006/picture">
          <wp:extent cx="1800000" cy="709364"/>
          <wp:docPr id="1" name="Picture 1"/>
          <wp:cNvGraphicFramePr>
            <a:graphicFrameLocks noChangeAspect="1"/>
          </wp:cNvGraphicFramePr>
          <a:graphic>
            <a:graphicData uri="http://schemas.openxmlformats.org/drawingml/2006/picture">
              <pic:pic>
                <pic:nvPicPr>
                  <pic:cNvPr id="0" name="logo-tempus-transparent.png"/>
                  <pic:cNvPicPr/>
                </pic:nvPicPr>
                <pic:blipFill>
                  <a:blip r:embed="rId1"/>
                  <a:stretch>
                    <a:fillRect/>
                  </a:stretch>
                </pic:blipFill>
                <pic:spPr>
                  <a:xfrm>
                    <a:off x="0" y="0"/>
                    <a:ext cx="1800000" cy="7093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8A6500"/>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8A65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