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922"/>
      </w:tblGrid>
      <w:tr>
        <w:tc>
          <w:tcPr>
            <w:tcW w:type="dxa" w:w="9921"/>
            <w:vAlign w:val="center"/>
            <w:shd w:fill="35683F"/>
            <w:tcMar>
              <w:top w:w="240" w:type="dxa"/>
              <w:start w:w="300" w:type="dxa"/>
              <w:bottom w:w="230" w:type="dxa"/>
              <w:end w:w="300" w:type="dxa"/>
            </w:tcMar>
          </w:tcPr>
          <w:p>
            <w:pPr>
              <w:spacing w:after="80"/>
            </w:pPr>
            <w:r>
              <w:rPr>
                <w:rFonts w:ascii="Arial" w:hAnsi="Arial"/>
                <w:b/>
                <w:i w:val="0"/>
                <w:color w:val="FFFFFF"/>
                <w:sz w:val="44"/>
              </w:rPr>
              <w:t>Formateur professionnel d’adultes</w:t>
            </w:r>
          </w:p>
          <w:p>
            <w:pPr>
              <w:spacing w:after="0"/>
            </w:pPr>
            <w:r>
              <w:rPr>
                <w:rFonts w:ascii="Arial" w:hAnsi="Arial"/>
                <w:b/>
                <w:i w:val="0"/>
                <w:color w:val="FFFFFF"/>
                <w:sz w:val="21"/>
              </w:rPr>
              <w:t>Titre professionnel niveau 5 - RNCP37275</w:t>
            </w:r>
            <w:r>
              <w:rPr>
                <w:rFonts w:ascii="Arial" w:hAnsi="Arial"/>
                <w:b/>
                <w:i w:val="0"/>
                <w:color w:val="FFFFFF"/>
                <w:sz w:val="17"/>
              </w:rPr>
              <w:t xml:space="preserve">    PROGRAMME DE FORMATION</w:t>
            </w:r>
          </w:p>
        </w:tc>
      </w:tr>
    </w:tbl>
    <w:p>
      <w:pPr>
        <w:spacing w:before="160" w:after="80"/>
      </w:pPr>
      <w:r>
        <w:rPr>
          <w:rFonts w:ascii="Arial" w:hAnsi="Arial"/>
          <w:b/>
          <w:i w:val="0"/>
          <w:color w:val="35683F"/>
          <w:sz w:val="16"/>
        </w:rPr>
        <w:t>INFORMATIONS CLÉS</w:t>
      </w:r>
    </w:p>
    <w:tbl>
      <w:tblPr>
        <w:tblW w:type="auto" w:w="0"/>
        <w:jc w:val="center"/>
        <w:tblLayout w:type="fixed"/>
        <w:tblLook w:firstColumn="1" w:firstRow="1" w:lastColumn="0" w:lastRow="0" w:noHBand="0" w:noVBand="1" w:val="04A0"/>
      </w:tblPr>
      <w:tblGrid>
        <w:gridCol w:w="3307"/>
        <w:gridCol w:w="3307"/>
        <w:gridCol w:w="3307"/>
      </w:tblGrid>
      <w:tr>
        <w:tc>
          <w:tcPr>
            <w:tcW w:type="dxa" w:w="3307"/>
            <w:vAlign w:val="center"/>
            <w:shd w:fill="F4F6F7"/>
            <w:tcMar>
              <w:top w:w="135" w:type="dxa"/>
              <w:start w:w="150" w:type="dxa"/>
              <w:bottom w:w="135" w:type="dxa"/>
              <w:end w:w="150" w:type="dxa"/>
            </w:tcMar>
          </w:tcPr>
          <w:p>
            <w:pPr>
              <w:spacing w:after="0"/>
              <w:jc w:val="center"/>
            </w:pPr>
            <w:r>
              <w:rPr>
                <w:rFonts w:ascii="Arial" w:hAnsi="Arial"/>
                <w:b/>
                <w:i w:val="0"/>
                <w:color w:val="000000"/>
                <w:sz w:val="17"/>
              </w:rPr>
              <w:t>7 mois - 595 heures</w:t>
            </w:r>
          </w:p>
        </w:tc>
        <w:tc>
          <w:tcPr>
            <w:tcW w:type="dxa" w:w="3307"/>
            <w:vAlign w:val="center"/>
            <w:shd w:fill="F4F6F7"/>
            <w:tcMar>
              <w:top w:w="135" w:type="dxa"/>
              <w:start w:w="150" w:type="dxa"/>
              <w:bottom w:w="135" w:type="dxa"/>
              <w:end w:w="150" w:type="dxa"/>
            </w:tcMar>
          </w:tcPr>
          <w:p>
            <w:pPr>
              <w:spacing w:after="0"/>
              <w:jc w:val="center"/>
            </w:pPr>
            <w:r>
              <w:rPr>
                <w:rFonts w:ascii="Arial" w:hAnsi="Arial"/>
                <w:b/>
                <w:i w:val="0"/>
                <w:color w:val="000000"/>
                <w:sz w:val="17"/>
              </w:rPr>
              <w:t>Alternance ou formation continue</w:t>
            </w:r>
          </w:p>
        </w:tc>
        <w:tc>
          <w:tcPr>
            <w:tcW w:type="dxa" w:w="3307"/>
            <w:vAlign w:val="center"/>
            <w:shd w:fill="F4F6F7"/>
            <w:tcMar>
              <w:top w:w="135" w:type="dxa"/>
              <w:start w:w="150" w:type="dxa"/>
              <w:bottom w:w="135" w:type="dxa"/>
              <w:end w:w="150" w:type="dxa"/>
            </w:tcMar>
          </w:tcPr>
          <w:p>
            <w:pPr>
              <w:spacing w:after="0"/>
              <w:jc w:val="center"/>
            </w:pPr>
            <w:r>
              <w:rPr>
                <w:rFonts w:ascii="Arial" w:hAnsi="Arial"/>
                <w:b/>
                <w:i w:val="0"/>
                <w:color w:val="000000"/>
                <w:sz w:val="17"/>
              </w:rPr>
              <w:t>Baccalauréat ou équivalent</w:t>
            </w:r>
          </w:p>
        </w:tc>
      </w:tr>
    </w:tbl>
    <w:p>
      <w:pPr>
        <w:spacing w:before="160" w:after="120"/>
      </w:pPr>
      <w:r>
        <w:rPr>
          <w:rFonts w:ascii="Arial" w:hAnsi="Arial"/>
          <w:b/>
          <w:i w:val="0"/>
          <w:color w:val="35683F"/>
          <w:sz w:val="28"/>
        </w:rPr>
        <w:t>Programme détaillé</w:t>
      </w: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01  Présentation et certification</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Révisé par l’arrêté du 7 décembre 2022 et applicable depuis le 29 avril 2023, le Titre Professionnel de Formateur Professionnel d’Adultes est une certification de niveau 5 (Bac+2) enregistrée au RNCP sous le code RNCP37275.</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02  Mode d’organisation</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Alternance ou formation continue, formation à distance animée chaque semaine, replays, bibliothèque numérique 24h/24 et accompagnement personnalisé. Durée annoncée : 7 mois, soit 5 mois de cours et 2 mois de stage, pour 595 heures.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03  Prérequis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Baccalauréat ou niveau équivalent, trois ans d’expérience professionnelle et maîtrise de l’outil informatique.</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04  Module 1 - Concevoir et préparer la formation</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Analyser une demande, construire une progression pédagogique, définir les objectifs, choisir les modalités et préparer les ressources adaptées aux adultes.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05  Module 2 - Animer et évaluer les acquis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Animer des séquences en présence ou à distance, favoriser l’engagement, gérer les situations d’apprentissage et évaluer les acquis des apprenants.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06  Module 3 - Accompagner les apprenants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Accueillir, positionner, individualiser les parcours, soutenir les apprentissages et accompagner le projet professionnel des participants.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07  Module 4 - Qualité et responsabilité sociale</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Respecter la réglementation et l’éthique, intégrer qualité, inclusion et prévention des discriminations, organiser une veille professionnelle et pédagogique, analyser sa pratique et construire un plan d’amélioration continue.</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08  Formateurs, moyens et pédagogie</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Experts de la formation professionnelle. Classes virtuelles interactives, études de cas, mises en situation, coaching, échanges d’expériences, plateforme e-learning, ressources en ligne et outils de suivi.</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09  Évaluation et certification</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Évaluations formatives, dossier professionnel, soutenance, mise en situation, projet final et entretien avec un jury d’examen.</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35683F"/>
            <w:tcMar>
              <w:top w:w="92" w:type="dxa"/>
              <w:start w:w="180" w:type="dxa"/>
              <w:bottom w:w="92" w:type="dxa"/>
              <w:end w:w="180" w:type="dxa"/>
            </w:tcMar>
          </w:tcPr>
          <w:p>
            <w:pPr>
              <w:keepNext/>
              <w:keepLines/>
              <w:spacing w:after="0"/>
            </w:pPr>
            <w:r>
              <w:rPr>
                <w:rFonts w:ascii="Arial" w:hAnsi="Arial"/>
                <w:b/>
                <w:i w:val="0"/>
                <w:color w:val="FFFFFF"/>
                <w:sz w:val="20"/>
              </w:rPr>
              <w:t>10  Accès, débouchés et perspectives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Entrées permanentes et sélection sur dossier. Financements possibles selon l’éligibilité via CPF, France Travail, alternance ou dispositifs pour entrepreneurs. Débouchés : formateur indépendant ou salarié, formateur en entreprise ou CFA. Évolutions vers coordinateur pédagogique ou responsable de formation et poursuites d’études en sciences de l’éducation, ingénierie pédagogique ou management de la formation.</w:t>
            </w:r>
          </w:p>
        </w:tc>
      </w:tr>
    </w:tbl>
    <w:p>
      <w:pPr>
        <w:spacing w:after="40" w:line="48" w:lineRule="auto"/>
      </w:pPr>
    </w:p>
    <w:sectPr w:rsidR="00FC693F" w:rsidRPr="0006063C" w:rsidSect="00034616">
      <w:headerReference w:type="default" r:id="rId9"/>
      <w:footerReference w:type="default" r:id="rId10"/>
      <w:pgSz w:w="11906" w:h="16838"/>
      <w:pgMar w:top="1389" w:right="992" w:bottom="1219" w:left="992" w:header="255"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8050"/>
      <w:gridCol w:w="1871"/>
    </w:tblGrid>
    <w:tr>
      <w:tc>
        <w:tcPr>
          <w:tcW w:type="dxa" w:w="4961"/>
          <w:tcMar>
            <w:top w:w="45" w:type="dxa"/>
            <w:start w:w="0" w:type="dxa"/>
            <w:bottom w:w="0" w:type="dxa"/>
            <w:end w:w="0" w:type="dxa"/>
          </w:tcMar>
        </w:tcPr>
        <w:p>
          <w:pPr>
            <w:spacing w:after="0"/>
          </w:pPr>
          <w:r>
            <w:rPr>
              <w:rFonts w:ascii="Arial" w:hAnsi="Arial"/>
              <w:b w:val="0"/>
              <w:i w:val="0"/>
              <w:color w:val="4C5963"/>
              <w:sz w:val="14"/>
            </w:rPr>
            <w:t>ISTAS - GROUPE TEMPUS-FORMATIONS | 30 rue de Lattre de Tassigny, 67300 Schiltigheim - France | tempus-formations.fr</w:t>
          </w:r>
        </w:p>
      </w:tc>
      <w:tc>
        <w:tcPr>
          <w:tcW w:type="dxa" w:w="4961"/>
          <w:tcMar>
            <w:top w:w="45" w:type="dxa"/>
            <w:start w:w="0" w:type="dxa"/>
            <w:bottom w:w="0" w:type="dxa"/>
            <w:end w:w="0" w:type="dxa"/>
          </w:tcMar>
        </w:tcPr>
        <w:p>
          <w:pPr>
            <w:jc w:val="right"/>
          </w:pPr>
          <w:r>
            <w:rPr>
              <w:rFonts w:ascii="Arial" w:hAnsi="Arial"/>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drawing>
        <wp:inline xmlns:a="http://schemas.openxmlformats.org/drawingml/2006/main" xmlns:pic="http://schemas.openxmlformats.org/drawingml/2006/picture">
          <wp:extent cx="1800000" cy="709364"/>
          <wp:docPr id="1" name="Picture 1"/>
          <wp:cNvGraphicFramePr>
            <a:graphicFrameLocks noChangeAspect="1"/>
          </wp:cNvGraphicFramePr>
          <a:graphic>
            <a:graphicData uri="http://schemas.openxmlformats.org/drawingml/2006/picture">
              <pic:pic>
                <pic:nvPicPr>
                  <pic:cNvPr id="0" name="logo-tempus-transparent.png"/>
                  <pic:cNvPicPr/>
                </pic:nvPicPr>
                <pic:blipFill>
                  <a:blip r:embed="rId1"/>
                  <a:stretch>
                    <a:fillRect/>
                  </a:stretch>
                </pic:blipFill>
                <pic:spPr>
                  <a:xfrm>
                    <a:off x="0" y="0"/>
                    <a:ext cx="1800000" cy="70936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3"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35683F"/>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35683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